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876"/>
        <w:gridCol w:w="2571"/>
        <w:gridCol w:w="5988"/>
      </w:tblGrid>
      <w:tr w:rsidR="00E434AD" w:rsidRPr="009B3828" w:rsidTr="00EE28F0">
        <w:tc>
          <w:tcPr>
            <w:tcW w:w="851" w:type="dxa"/>
          </w:tcPr>
          <w:p w:rsidR="00E434AD" w:rsidRPr="009B3828" w:rsidRDefault="00E434AD" w:rsidP="00E434A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4">
              <w:rPr>
                <w:rFonts w:ascii="Times New Roman" w:hAnsi="Times New Roman" w:cs="Times New Roman"/>
                <w:b/>
                <w:sz w:val="24"/>
                <w:szCs w:val="24"/>
              </w:rPr>
              <w:t>A tantárgy elnevezése (magyar nyelven)</w:t>
            </w:r>
          </w:p>
        </w:tc>
        <w:tc>
          <w:tcPr>
            <w:tcW w:w="4956" w:type="dxa"/>
          </w:tcPr>
          <w:p w:rsidR="00E434AD" w:rsidRPr="009B3828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28">
              <w:rPr>
                <w:rFonts w:ascii="Times New Roman" w:hAnsi="Times New Roman" w:cs="Times New Roman"/>
                <w:sz w:val="24"/>
                <w:szCs w:val="24"/>
              </w:rPr>
              <w:t>Településfejlesztés I.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9B3828" w:rsidRDefault="00E434AD" w:rsidP="00E434A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4AD" w:rsidRPr="00470E6C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6C">
              <w:rPr>
                <w:rFonts w:ascii="Times New Roman" w:hAnsi="Times New Roman" w:cs="Times New Roman"/>
                <w:b/>
                <w:sz w:val="24"/>
                <w:szCs w:val="24"/>
              </w:rPr>
              <w:t>A tantárgy elnevezése (angol nyelven)</w:t>
            </w:r>
          </w:p>
        </w:tc>
        <w:tc>
          <w:tcPr>
            <w:tcW w:w="4956" w:type="dxa"/>
          </w:tcPr>
          <w:p w:rsidR="00E434AD" w:rsidRPr="009B3828" w:rsidRDefault="001D0D8F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9B3828" w:rsidRDefault="00E434AD" w:rsidP="00E434A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4AD" w:rsidRPr="00470E6C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proofErr w:type="spellStart"/>
            <w:r w:rsidRPr="00470E6C">
              <w:rPr>
                <w:rFonts w:ascii="Times New Roman" w:hAnsi="Times New Roman" w:cs="Times New Roman"/>
                <w:b/>
                <w:sz w:val="24"/>
                <w:szCs w:val="24"/>
              </w:rPr>
              <w:t>Neptun-kódja</w:t>
            </w:r>
            <w:proofErr w:type="spellEnd"/>
          </w:p>
        </w:tc>
        <w:tc>
          <w:tcPr>
            <w:tcW w:w="4956" w:type="dxa"/>
          </w:tcPr>
          <w:p w:rsidR="00E434AD" w:rsidRPr="009B3828" w:rsidRDefault="00171184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84">
              <w:rPr>
                <w:rFonts w:asciiTheme="majorBidi" w:hAnsiTheme="majorBidi" w:cstheme="majorBidi"/>
              </w:rPr>
              <w:t>ÁKKKIO06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9B3828" w:rsidRDefault="00E434AD" w:rsidP="00E434A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4">
              <w:rPr>
                <w:rFonts w:ascii="Times New Roman" w:hAnsi="Times New Roman" w:cs="Times New Roman"/>
                <w:b/>
                <w:sz w:val="24"/>
                <w:szCs w:val="24"/>
              </w:rPr>
              <w:t>A tantárgy kreditértéke</w:t>
            </w:r>
          </w:p>
        </w:tc>
        <w:tc>
          <w:tcPr>
            <w:tcW w:w="4956" w:type="dxa"/>
          </w:tcPr>
          <w:p w:rsidR="00E434AD" w:rsidRPr="009B3828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9B3828" w:rsidRDefault="00E434AD" w:rsidP="00E434A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szakok (szakirányok), ahol oktatják</w:t>
            </w:r>
          </w:p>
        </w:tc>
        <w:tc>
          <w:tcPr>
            <w:tcW w:w="4956" w:type="dxa"/>
          </w:tcPr>
          <w:p w:rsidR="00E434AD" w:rsidRPr="009B3828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28">
              <w:rPr>
                <w:rFonts w:ascii="Times New Roman" w:hAnsi="Times New Roman" w:cs="Times New Roman"/>
                <w:sz w:val="24"/>
                <w:szCs w:val="24"/>
              </w:rPr>
              <w:t>Államtudományi osztatlan mesterképzés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9B3828" w:rsidRDefault="00E434AD" w:rsidP="00E434A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 meghirdetésének gyakorisága/a tantervben történő félévi elhelyezkedése</w:t>
            </w:r>
          </w:p>
        </w:tc>
        <w:tc>
          <w:tcPr>
            <w:tcW w:w="4956" w:type="dxa"/>
          </w:tcPr>
          <w:p w:rsidR="00E434AD" w:rsidRPr="009B3828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28">
              <w:rPr>
                <w:rFonts w:ascii="Times New Roman" w:hAnsi="Times New Roman" w:cs="Times New Roman"/>
                <w:sz w:val="24"/>
                <w:szCs w:val="24"/>
              </w:rPr>
              <w:t>8. félév</w:t>
            </w:r>
          </w:p>
        </w:tc>
      </w:tr>
      <w:tr w:rsidR="00E434AD" w:rsidRPr="009B3828" w:rsidTr="00470E6C">
        <w:tc>
          <w:tcPr>
            <w:tcW w:w="851" w:type="dxa"/>
          </w:tcPr>
          <w:p w:rsidR="00E434AD" w:rsidRPr="009B3828" w:rsidRDefault="00E434AD" w:rsidP="00E434A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34AD" w:rsidRPr="00470E6C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E6C">
              <w:rPr>
                <w:rFonts w:ascii="Times New Roman" w:hAnsi="Times New Roman" w:cs="Times New Roman"/>
                <w:b/>
                <w:sz w:val="24"/>
                <w:szCs w:val="24"/>
              </w:rPr>
              <w:t>Az oktatásért felelős oktatási szervezeti egység</w:t>
            </w:r>
          </w:p>
        </w:tc>
        <w:tc>
          <w:tcPr>
            <w:tcW w:w="4956" w:type="dxa"/>
          </w:tcPr>
          <w:p w:rsidR="00E434AD" w:rsidRPr="009B3828" w:rsidRDefault="001D0D8F" w:rsidP="001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Közszervezési és </w:t>
            </w:r>
            <w:proofErr w:type="spellStart"/>
            <w:r w:rsidR="00171184">
              <w:rPr>
                <w:rFonts w:ascii="Times New Roman" w:hAnsi="Times New Roman" w:cs="Times New Roman"/>
                <w:sz w:val="24"/>
                <w:szCs w:val="24"/>
              </w:rPr>
              <w:t>Infotechnológiai</w:t>
            </w:r>
            <w:proofErr w:type="spellEnd"/>
            <w:r w:rsidR="00171184">
              <w:rPr>
                <w:rFonts w:ascii="Times New Roman" w:hAnsi="Times New Roman" w:cs="Times New Roman"/>
                <w:sz w:val="24"/>
                <w:szCs w:val="24"/>
              </w:rPr>
              <w:t xml:space="preserve"> Tanszék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9B3828" w:rsidRDefault="00E434AD" w:rsidP="00E434A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4">
              <w:rPr>
                <w:rFonts w:ascii="Times New Roman" w:hAnsi="Times New Roman" w:cs="Times New Roman"/>
                <w:b/>
                <w:sz w:val="24"/>
                <w:szCs w:val="24"/>
              </w:rPr>
              <w:t>A tantárgyfelelős oktató</w:t>
            </w:r>
          </w:p>
        </w:tc>
        <w:tc>
          <w:tcPr>
            <w:tcW w:w="4956" w:type="dxa"/>
          </w:tcPr>
          <w:p w:rsidR="00E434AD" w:rsidRPr="009B3828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28">
              <w:rPr>
                <w:rFonts w:ascii="Times New Roman" w:hAnsi="Times New Roman" w:cs="Times New Roman"/>
                <w:sz w:val="24"/>
                <w:szCs w:val="24"/>
              </w:rPr>
              <w:t>Prof. Dr. Tózsa István, intézetvezető egyetemi tanár, PhD, habil.</w:t>
            </w:r>
          </w:p>
        </w:tc>
      </w:tr>
      <w:tr w:rsidR="005317A3" w:rsidRPr="009B3828" w:rsidTr="00EE28F0">
        <w:tc>
          <w:tcPr>
            <w:tcW w:w="851" w:type="dxa"/>
          </w:tcPr>
          <w:p w:rsidR="005317A3" w:rsidRPr="009B3828" w:rsidRDefault="005317A3" w:rsidP="00E434A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7A3" w:rsidRPr="00134514" w:rsidRDefault="005317A3" w:rsidP="00531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oktatásba bevont oktatók</w:t>
            </w:r>
          </w:p>
        </w:tc>
        <w:tc>
          <w:tcPr>
            <w:tcW w:w="4956" w:type="dxa"/>
          </w:tcPr>
          <w:p w:rsidR="005317A3" w:rsidRPr="009B3828" w:rsidRDefault="00710F1E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28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9B3828">
              <w:rPr>
                <w:rFonts w:ascii="Times New Roman" w:hAnsi="Times New Roman" w:cs="Times New Roman"/>
                <w:sz w:val="24"/>
                <w:szCs w:val="24"/>
              </w:rPr>
              <w:t>Tózsa</w:t>
            </w:r>
            <w:proofErr w:type="spellEnd"/>
            <w:r w:rsidRPr="009B3828">
              <w:rPr>
                <w:rFonts w:ascii="Times New Roman" w:hAnsi="Times New Roman" w:cs="Times New Roman"/>
                <w:sz w:val="24"/>
                <w:szCs w:val="24"/>
              </w:rPr>
              <w:t xml:space="preserve"> István, intézetvezető egyetemi tanár, PhD, </w:t>
            </w:r>
            <w:proofErr w:type="spellStart"/>
            <w:r w:rsidRPr="009B3828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proofErr w:type="gramStart"/>
            <w:r w:rsidRPr="009B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7A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5317A3">
              <w:rPr>
                <w:rFonts w:ascii="Times New Roman" w:hAnsi="Times New Roman" w:cs="Times New Roman"/>
                <w:sz w:val="24"/>
                <w:szCs w:val="24"/>
              </w:rPr>
              <w:t>Buskó</w:t>
            </w:r>
            <w:proofErr w:type="spellEnd"/>
            <w:r w:rsidR="005317A3">
              <w:rPr>
                <w:rFonts w:ascii="Times New Roman" w:hAnsi="Times New Roman" w:cs="Times New Roman"/>
                <w:sz w:val="24"/>
                <w:szCs w:val="24"/>
              </w:rPr>
              <w:t xml:space="preserve"> Tibor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 adjunktus PhD;</w:t>
            </w:r>
            <w:r w:rsidR="005317A3">
              <w:rPr>
                <w:rFonts w:ascii="Times New Roman" w:hAnsi="Times New Roman" w:cs="Times New Roman"/>
                <w:sz w:val="24"/>
                <w:szCs w:val="24"/>
              </w:rPr>
              <w:t xml:space="preserve"> Dr. Bajnai László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tudományos főmunkatárs PhD</w:t>
            </w:r>
            <w:r w:rsidR="0053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4">
              <w:rPr>
                <w:rFonts w:ascii="Times New Roman" w:hAnsi="Times New Roman" w:cs="Times New Roman"/>
                <w:b/>
                <w:sz w:val="24"/>
                <w:szCs w:val="24"/>
              </w:rPr>
              <w:t>A tantárgy óraszáma, a foglalkozás típusa</w:t>
            </w:r>
          </w:p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E434AD" w:rsidRPr="009B3828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28">
              <w:rPr>
                <w:rFonts w:ascii="Times New Roman" w:hAnsi="Times New Roman" w:cs="Times New Roman"/>
                <w:sz w:val="24"/>
                <w:szCs w:val="24"/>
              </w:rPr>
              <w:t>nappali: heti 2 óra előadás + 1 óra szeminárium (félévente 30+15); levelező: 15 óra/félév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Pr="0013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szakmai tartalma (magyar nyelven)</w:t>
            </w:r>
          </w:p>
        </w:tc>
        <w:tc>
          <w:tcPr>
            <w:tcW w:w="4956" w:type="dxa"/>
          </w:tcPr>
          <w:p w:rsidR="00E434AD" w:rsidRPr="009B3828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28">
              <w:rPr>
                <w:rFonts w:ascii="Times New Roman" w:hAnsi="Times New Roman" w:cs="Times New Roman"/>
                <w:sz w:val="24"/>
                <w:szCs w:val="24"/>
              </w:rPr>
              <w:t xml:space="preserve">A tantárgy tartalmazza a közigazgatás életterének, a településnek -- mint rendszernek -- a spontán fejlődéséből adódó törvényszerűségeinek leírását, rendszerezését, amelyek ismerete nélkülözhetetlen a településirányítók (önkormányzatok és </w:t>
            </w:r>
            <w:proofErr w:type="spellStart"/>
            <w:r w:rsidRPr="009B3828">
              <w:rPr>
                <w:rFonts w:ascii="Times New Roman" w:hAnsi="Times New Roman" w:cs="Times New Roman"/>
                <w:sz w:val="24"/>
                <w:szCs w:val="24"/>
              </w:rPr>
              <w:t>dekoncentrált</w:t>
            </w:r>
            <w:proofErr w:type="spellEnd"/>
            <w:r w:rsidRPr="009B3828">
              <w:rPr>
                <w:rFonts w:ascii="Times New Roman" w:hAnsi="Times New Roman" w:cs="Times New Roman"/>
                <w:sz w:val="24"/>
                <w:szCs w:val="24"/>
              </w:rPr>
              <w:t xml:space="preserve"> területi államigazgatási szervek) és a településfejlesztéssel foglalkozó szakemberek részére. Ilyenek a település fejlődését segítő és gátló természeti, gazdasági, társadalmi tényezők, a helyi és helyzeti energiák, valamint a település fejlődését kísérő </w:t>
            </w:r>
            <w:r w:rsidRPr="009B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urbanizációs életciklusok. Ezt az ismeretkört egészítik ki a település működésének alapvető infrastrukturális elemei a szakirodalom szerinti nyolcas tagolásban (ingatlan, humán és műszaki infrastruktúra, továbbá a fogyasztással, környezet-egészségüggyel, rekreációval, logisztikával és a településirányítással kapcsolatos infrastrukturális elemek); melyek elemzése rávilágít az önkormányzatok és az állam településfejlesztési tevékenységére és eszközeire.  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Pr="00470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szakmai tartalma (angol nyelven)</w:t>
            </w:r>
          </w:p>
        </w:tc>
        <w:tc>
          <w:tcPr>
            <w:tcW w:w="4956" w:type="dxa"/>
          </w:tcPr>
          <w:p w:rsidR="00E434AD" w:rsidRDefault="001D0D8F" w:rsidP="001D0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subject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includes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description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habitats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administration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rules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settlement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system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of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spontaneous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development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settlement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knowledge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which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indispensable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administration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(local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governments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called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deconcentrated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territorial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administrations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and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local</w:t>
            </w:r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development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specialists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These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include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natural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factors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support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prevent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development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settlement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local and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regional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energies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and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urbanization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life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cycles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accompany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development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settlement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This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knowledge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complemented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by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basic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infrastructural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elements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settlement's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operation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eighth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division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literature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real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estate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human and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technical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infrastructure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infrastructural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elements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related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consumption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environment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health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recreation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logistics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urban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management);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analysis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which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shows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local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governments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state's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development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activities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tools</w:t>
            </w:r>
            <w:proofErr w:type="spellEnd"/>
            <w:r w:rsidRPr="001D0D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1D0D8F" w:rsidRPr="009B3828" w:rsidRDefault="001D0D8F" w:rsidP="001D0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4">
              <w:rPr>
                <w:rFonts w:ascii="Times New Roman" w:hAnsi="Times New Roman" w:cs="Times New Roman"/>
                <w:b/>
                <w:sz w:val="24"/>
                <w:szCs w:val="24"/>
              </w:rPr>
              <w:t>Az elérendő kompetenciák (magyar nyelven)</w:t>
            </w:r>
          </w:p>
        </w:tc>
        <w:tc>
          <w:tcPr>
            <w:tcW w:w="4956" w:type="dxa"/>
          </w:tcPr>
          <w:p w:rsidR="00E434AD" w:rsidRPr="009B3828" w:rsidRDefault="00E434AD" w:rsidP="001D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28">
              <w:rPr>
                <w:rFonts w:ascii="Times New Roman" w:hAnsi="Times New Roman" w:cs="Times New Roman"/>
                <w:sz w:val="24"/>
                <w:szCs w:val="24"/>
              </w:rPr>
              <w:t xml:space="preserve">A hallgatók megismerkednek a település életét, fejlődését, működését meghatározó és befolyásoló hatásokkal, erőforrásokkal és folyamatokkal azért, hogy a település irányításába és a települési tervezésbe közigazgatási szakemberként bekerülve rendelkezzenek olyan, a településirányítás gyakorlatában használható tudással amelyek -- túl a jogi szabályozáson -- természet- és társadalomtudományi ismeretekkel segítik őket abban, hogy szakszerűen avatkozhassanak be a települési folyamatok irányításába, menedzselésébe és tervezésébe. Az ismeretek segítik a települési környezettel való aktív interakciót. 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E6C">
              <w:rPr>
                <w:rFonts w:ascii="Times New Roman" w:hAnsi="Times New Roman" w:cs="Times New Roman"/>
                <w:b/>
                <w:sz w:val="24"/>
                <w:szCs w:val="24"/>
              </w:rPr>
              <w:t>Az elérendő kompetenciák (angol nyelven)</w:t>
            </w:r>
          </w:p>
        </w:tc>
        <w:tc>
          <w:tcPr>
            <w:tcW w:w="4956" w:type="dxa"/>
          </w:tcPr>
          <w:p w:rsidR="001D0D8F" w:rsidRPr="001D0D8F" w:rsidRDefault="001D0D8F" w:rsidP="001D0D8F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determine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influence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life,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settlement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management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settlement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beyond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engage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, management and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helps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interact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actively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proofErr w:type="spellEnd"/>
            <w:r w:rsidRPr="001D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4AD" w:rsidRPr="009B3828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4">
              <w:rPr>
                <w:rFonts w:ascii="Times New Roman" w:hAnsi="Times New Roman" w:cs="Times New Roman"/>
                <w:b/>
                <w:sz w:val="24"/>
                <w:szCs w:val="24"/>
              </w:rPr>
              <w:t>Előtanulmányi (előzetes) követelmények</w:t>
            </w:r>
          </w:p>
        </w:tc>
        <w:tc>
          <w:tcPr>
            <w:tcW w:w="4956" w:type="dxa"/>
          </w:tcPr>
          <w:p w:rsidR="00E434AD" w:rsidRPr="009B3828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28">
              <w:rPr>
                <w:rFonts w:ascii="Times New Roman" w:hAnsi="Times New Roman" w:cs="Times New Roman"/>
                <w:sz w:val="24"/>
                <w:szCs w:val="24"/>
              </w:rPr>
              <w:t>Önkormányzati jog és igazgatás I.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E434AD" w:rsidRPr="001832FA" w:rsidRDefault="00E434AD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832FA">
              <w:rPr>
                <w:rFonts w:ascii="Times New Roman" w:hAnsi="Times New Roman" w:cs="Times New Roman"/>
                <w:b/>
                <w:bCs/>
              </w:rPr>
              <w:t>A tantárgy tematikája</w:t>
            </w:r>
          </w:p>
        </w:tc>
        <w:tc>
          <w:tcPr>
            <w:tcW w:w="4956" w:type="dxa"/>
          </w:tcPr>
          <w:p w:rsidR="00E83CFE" w:rsidRPr="00710F1E" w:rsidRDefault="00E83CFE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1. Településhálózat kialakulása a Kárpát-medencében</w:t>
            </w:r>
          </w:p>
          <w:p w:rsidR="00E83CFE" w:rsidRPr="00710F1E" w:rsidRDefault="00E83CFE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2. A település fogalma, jellemzői, fejlődése</w:t>
            </w:r>
          </w:p>
          <w:p w:rsidR="00E83CFE" w:rsidRPr="00710F1E" w:rsidRDefault="00E83CFE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3. Településszerkezet, beépítés típusok</w:t>
            </w:r>
          </w:p>
          <w:p w:rsidR="00E83CFE" w:rsidRPr="00710F1E" w:rsidRDefault="00E83CFE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4. Városok és az urbanizációs folyamat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Kapcsolódó szemináriumi foglalkozások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a-b) </w:t>
            </w:r>
            <w:proofErr w:type="gramStart"/>
            <w:r w:rsidRPr="00710F1E">
              <w:rPr>
                <w:rFonts w:ascii="Times New Roman" w:hAnsi="Times New Roman" w:cs="Times New Roman"/>
              </w:rPr>
              <w:t>A</w:t>
            </w:r>
            <w:proofErr w:type="gramEnd"/>
            <w:r w:rsidRPr="00710F1E">
              <w:rPr>
                <w:rFonts w:ascii="Times New Roman" w:hAnsi="Times New Roman" w:cs="Times New Roman"/>
              </w:rPr>
              <w:t xml:space="preserve"> településfejlesztés fogalmának megalapozása (László László)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 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5. Az infrastruktúra fogalma; a települési infrastruktúra és rendszerezése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6.A </w:t>
            </w:r>
            <w:proofErr w:type="gramStart"/>
            <w:r w:rsidRPr="00710F1E">
              <w:rPr>
                <w:rFonts w:ascii="Times New Roman" w:hAnsi="Times New Roman" w:cs="Times New Roman"/>
              </w:rPr>
              <w:t>lakásállomány</w:t>
            </w:r>
            <w:proofErr w:type="gramEnd"/>
            <w:r w:rsidRPr="00710F1E">
              <w:rPr>
                <w:rFonts w:ascii="Times New Roman" w:hAnsi="Times New Roman" w:cs="Times New Roman"/>
              </w:rPr>
              <w:t xml:space="preserve"> mint a települési </w:t>
            </w:r>
            <w:proofErr w:type="spellStart"/>
            <w:r w:rsidRPr="00710F1E">
              <w:rPr>
                <w:rFonts w:ascii="Times New Roman" w:hAnsi="Times New Roman" w:cs="Times New Roman"/>
              </w:rPr>
              <w:t>infastruktúra</w:t>
            </w:r>
            <w:proofErr w:type="spellEnd"/>
            <w:r w:rsidRPr="00710F1E">
              <w:rPr>
                <w:rFonts w:ascii="Times New Roman" w:hAnsi="Times New Roman" w:cs="Times New Roman"/>
              </w:rPr>
              <w:t xml:space="preserve"> alapvető fontosságú eleme. Lakás- és ingatlangazdálkodás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7. Helyi közüzemi szolgáltatások (vízközmű, energia, távközlés)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8. A települési környezethez kapcsolódó infrastruktúra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9. Közösségi szolgáltatások (az oktatás, egészségügy és a szociális ellátás települési elemei)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Kapcsolódó szemináriumi foglalkozások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c-d) </w:t>
            </w:r>
            <w:proofErr w:type="gramStart"/>
            <w:r w:rsidRPr="00710F1E">
              <w:rPr>
                <w:rFonts w:ascii="Times New Roman" w:hAnsi="Times New Roman" w:cs="Times New Roman"/>
              </w:rPr>
              <w:t>A</w:t>
            </w:r>
            <w:proofErr w:type="gramEnd"/>
            <w:r w:rsidRPr="00710F1E">
              <w:rPr>
                <w:rFonts w:ascii="Times New Roman" w:hAnsi="Times New Roman" w:cs="Times New Roman"/>
              </w:rPr>
              <w:t xml:space="preserve"> települési infrastruktúra (Buskó Tibor László)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01F3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10. </w:t>
            </w:r>
            <w:r w:rsidR="004001F3" w:rsidRPr="00710F1E">
              <w:rPr>
                <w:rFonts w:ascii="Times New Roman" w:hAnsi="Times New Roman" w:cs="Times New Roman"/>
              </w:rPr>
              <w:t>Az urbanizáció értelmezési keretei</w:t>
            </w:r>
            <w:r w:rsidR="003201C5" w:rsidRPr="00710F1E">
              <w:rPr>
                <w:rFonts w:ascii="Times New Roman" w:hAnsi="Times New Roman" w:cs="Times New Roman"/>
              </w:rPr>
              <w:t>, tervezésének</w:t>
            </w:r>
            <w:r w:rsidR="004001F3" w:rsidRPr="00710F1E">
              <w:rPr>
                <w:rFonts w:ascii="Times New Roman" w:hAnsi="Times New Roman" w:cs="Times New Roman"/>
              </w:rPr>
              <w:t xml:space="preserve"> és</w:t>
            </w:r>
            <w:r w:rsidR="003201C5" w:rsidRPr="00710F1E">
              <w:rPr>
                <w:rFonts w:ascii="Times New Roman" w:hAnsi="Times New Roman" w:cs="Times New Roman"/>
              </w:rPr>
              <w:t xml:space="preserve"> megvalósításának</w:t>
            </w:r>
            <w:r w:rsidR="004001F3" w:rsidRPr="00710F1E">
              <w:rPr>
                <w:rFonts w:ascii="Times New Roman" w:hAnsi="Times New Roman" w:cs="Times New Roman"/>
              </w:rPr>
              <w:t xml:space="preserve"> eszmetörténeti</w:t>
            </w:r>
            <w:r w:rsidR="003201C5" w:rsidRPr="00710F1E">
              <w:rPr>
                <w:rFonts w:ascii="Times New Roman" w:hAnsi="Times New Roman" w:cs="Times New Roman"/>
              </w:rPr>
              <w:t xml:space="preserve"> és elméleti</w:t>
            </w:r>
            <w:r w:rsidR="004001F3" w:rsidRPr="00710F1E">
              <w:rPr>
                <w:rFonts w:ascii="Times New Roman" w:hAnsi="Times New Roman" w:cs="Times New Roman"/>
              </w:rPr>
              <w:t xml:space="preserve"> alapjai</w:t>
            </w:r>
            <w:r w:rsidR="00490152" w:rsidRPr="00710F1E">
              <w:rPr>
                <w:rFonts w:ascii="Times New Roman" w:hAnsi="Times New Roman" w:cs="Times New Roman"/>
              </w:rPr>
              <w:t>, alapfogalmai</w:t>
            </w:r>
          </w:p>
          <w:p w:rsidR="00C036BD" w:rsidRPr="00710F1E" w:rsidRDefault="00171184" w:rsidP="0040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11. </w:t>
            </w:r>
            <w:r w:rsidR="003201C5" w:rsidRPr="00710F1E">
              <w:rPr>
                <w:rFonts w:ascii="Times New Roman" w:hAnsi="Times New Roman" w:cs="Times New Roman"/>
              </w:rPr>
              <w:t>A</w:t>
            </w:r>
            <w:r w:rsidR="004444F6" w:rsidRPr="00710F1E">
              <w:rPr>
                <w:rFonts w:ascii="Times New Roman" w:hAnsi="Times New Roman" w:cs="Times New Roman"/>
              </w:rPr>
              <w:t xml:space="preserve"> tervszerű</w:t>
            </w:r>
            <w:r w:rsidR="003201C5" w:rsidRPr="00710F1E">
              <w:rPr>
                <w:rFonts w:ascii="Times New Roman" w:hAnsi="Times New Roman" w:cs="Times New Roman"/>
              </w:rPr>
              <w:t xml:space="preserve"> urbanizáció </w:t>
            </w:r>
            <w:r w:rsidR="004444F6" w:rsidRPr="00710F1E">
              <w:rPr>
                <w:rFonts w:ascii="Times New Roman" w:hAnsi="Times New Roman" w:cs="Times New Roman"/>
              </w:rPr>
              <w:t>alapjai a</w:t>
            </w:r>
            <w:r w:rsidR="003201C5" w:rsidRPr="00710F1E">
              <w:rPr>
                <w:rFonts w:ascii="Times New Roman" w:hAnsi="Times New Roman" w:cs="Times New Roman"/>
              </w:rPr>
              <w:t xml:space="preserve"> </w:t>
            </w:r>
            <w:r w:rsidR="004444F6" w:rsidRPr="00710F1E">
              <w:rPr>
                <w:rFonts w:ascii="Times New Roman" w:hAnsi="Times New Roman" w:cs="Times New Roman"/>
              </w:rPr>
              <w:t xml:space="preserve">városépítészet </w:t>
            </w:r>
            <w:r w:rsidR="003201C5" w:rsidRPr="00710F1E">
              <w:rPr>
                <w:rFonts w:ascii="Times New Roman" w:hAnsi="Times New Roman" w:cs="Times New Roman"/>
              </w:rPr>
              <w:t>történe</w:t>
            </w:r>
            <w:r w:rsidR="004444F6" w:rsidRPr="00710F1E">
              <w:rPr>
                <w:rFonts w:ascii="Times New Roman" w:hAnsi="Times New Roman" w:cs="Times New Roman"/>
              </w:rPr>
              <w:t>tében</w:t>
            </w:r>
            <w:r w:rsidR="003201C5" w:rsidRPr="00710F1E">
              <w:rPr>
                <w:rFonts w:ascii="Times New Roman" w:hAnsi="Times New Roman" w:cs="Times New Roman"/>
              </w:rPr>
              <w:t xml:space="preserve"> </w:t>
            </w:r>
          </w:p>
          <w:p w:rsidR="003201C5" w:rsidRPr="00710F1E" w:rsidRDefault="00171184" w:rsidP="0032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12. </w:t>
            </w:r>
            <w:r w:rsidR="003201C5" w:rsidRPr="00710F1E">
              <w:rPr>
                <w:rFonts w:ascii="Times New Roman" w:hAnsi="Times New Roman" w:cs="Times New Roman"/>
              </w:rPr>
              <w:t>A fenntartható urbanizáció értelmezése és kihívásai</w:t>
            </w:r>
          </w:p>
          <w:p w:rsidR="003201C5" w:rsidRPr="00710F1E" w:rsidRDefault="00171184" w:rsidP="0032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13. </w:t>
            </w:r>
            <w:r w:rsidR="003201C5" w:rsidRPr="00710F1E">
              <w:rPr>
                <w:rFonts w:ascii="Times New Roman" w:hAnsi="Times New Roman" w:cs="Times New Roman"/>
              </w:rPr>
              <w:t xml:space="preserve">A </w:t>
            </w:r>
            <w:r w:rsidR="00FB4EAC" w:rsidRPr="00710F1E">
              <w:rPr>
                <w:rFonts w:ascii="Times New Roman" w:hAnsi="Times New Roman" w:cs="Times New Roman"/>
              </w:rPr>
              <w:t>települések</w:t>
            </w:r>
            <w:r w:rsidR="003201C5" w:rsidRPr="00710F1E">
              <w:rPr>
                <w:rFonts w:ascii="Times New Roman" w:hAnsi="Times New Roman" w:cs="Times New Roman"/>
              </w:rPr>
              <w:t xml:space="preserve"> strukturális problémái a fenntartható urbanizáció </w:t>
            </w:r>
            <w:r w:rsidR="00490152" w:rsidRPr="00710F1E">
              <w:rPr>
                <w:rFonts w:ascii="Times New Roman" w:hAnsi="Times New Roman" w:cs="Times New Roman"/>
              </w:rPr>
              <w:t>kihívásai szempontjából</w:t>
            </w:r>
            <w:r w:rsidR="003201C5" w:rsidRPr="00710F1E">
              <w:rPr>
                <w:rFonts w:ascii="Times New Roman" w:hAnsi="Times New Roman" w:cs="Times New Roman"/>
              </w:rPr>
              <w:t>, és a tervszerű városfejlesztés szükségessége</w:t>
            </w:r>
          </w:p>
          <w:p w:rsidR="004001F3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14. </w:t>
            </w:r>
            <w:r w:rsidR="003201C5" w:rsidRPr="00710F1E">
              <w:rPr>
                <w:rFonts w:ascii="Times New Roman" w:hAnsi="Times New Roman" w:cs="Times New Roman"/>
              </w:rPr>
              <w:t xml:space="preserve">A tervszerű </w:t>
            </w:r>
            <w:r w:rsidR="00FB4EAC" w:rsidRPr="00710F1E">
              <w:rPr>
                <w:rFonts w:ascii="Times New Roman" w:hAnsi="Times New Roman" w:cs="Times New Roman"/>
              </w:rPr>
              <w:t>település</w:t>
            </w:r>
            <w:r w:rsidR="003201C5" w:rsidRPr="00710F1E">
              <w:rPr>
                <w:rFonts w:ascii="Times New Roman" w:hAnsi="Times New Roman" w:cs="Times New Roman"/>
              </w:rPr>
              <w:t>fejlesztés legfontosabb céljai</w:t>
            </w:r>
            <w:r w:rsidR="00490152" w:rsidRPr="00710F1E">
              <w:rPr>
                <w:rFonts w:ascii="Times New Roman" w:hAnsi="Times New Roman" w:cs="Times New Roman"/>
              </w:rPr>
              <w:t xml:space="preserve"> </w:t>
            </w:r>
          </w:p>
          <w:p w:rsidR="00171184" w:rsidRPr="00710F1E" w:rsidRDefault="00FB4EAC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 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Kapcsolódó szemináriumi foglalkozások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e-f) </w:t>
            </w:r>
            <w:proofErr w:type="gramStart"/>
            <w:r w:rsidR="00FB4EAC" w:rsidRPr="00710F1E">
              <w:rPr>
                <w:rFonts w:ascii="Times New Roman" w:hAnsi="Times New Roman" w:cs="Times New Roman"/>
              </w:rPr>
              <w:t>A</w:t>
            </w:r>
            <w:proofErr w:type="gramEnd"/>
            <w:r w:rsidR="00FB4EAC" w:rsidRPr="00710F1E">
              <w:rPr>
                <w:rFonts w:ascii="Times New Roman" w:hAnsi="Times New Roman" w:cs="Times New Roman"/>
              </w:rPr>
              <w:t xml:space="preserve"> szép városi környezetről alkotott képzetek a reneszánsztól napjainkig;</w:t>
            </w:r>
            <w:r w:rsidRPr="00710F1E">
              <w:rPr>
                <w:rFonts w:ascii="Times New Roman" w:hAnsi="Times New Roman" w:cs="Times New Roman"/>
              </w:rPr>
              <w:t xml:space="preserve"> </w:t>
            </w:r>
            <w:r w:rsidR="00FB4EAC" w:rsidRPr="00710F1E">
              <w:rPr>
                <w:rFonts w:ascii="Times New Roman" w:hAnsi="Times New Roman" w:cs="Times New Roman"/>
              </w:rPr>
              <w:t xml:space="preserve">az egészséges városi környezet iránti igény megjelenése a középkortól napjainkig; a jól funkcionáló városi szövet iránti igény alakulása a reneszánsztól napjainkig </w:t>
            </w:r>
            <w:r w:rsidRPr="00710F1E">
              <w:rPr>
                <w:rFonts w:ascii="Times New Roman" w:hAnsi="Times New Roman" w:cs="Times New Roman"/>
              </w:rPr>
              <w:t>(Bajnai László)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15. Pótóra és/vagy év végi jegymegajánló írásbeli vizsga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>Kapcsolódó szemináriumi foglalkozások</w:t>
            </w:r>
          </w:p>
          <w:p w:rsidR="00171184" w:rsidRPr="00710F1E" w:rsidRDefault="00171184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F1E">
              <w:rPr>
                <w:rFonts w:ascii="Times New Roman" w:hAnsi="Times New Roman" w:cs="Times New Roman"/>
              </w:rPr>
              <w:t xml:space="preserve">g) </w:t>
            </w:r>
            <w:proofErr w:type="gramStart"/>
            <w:r w:rsidRPr="00710F1E">
              <w:rPr>
                <w:rFonts w:ascii="Times New Roman" w:hAnsi="Times New Roman" w:cs="Times New Roman"/>
              </w:rPr>
              <w:t>A</w:t>
            </w:r>
            <w:proofErr w:type="gramEnd"/>
            <w:r w:rsidRPr="00710F1E">
              <w:rPr>
                <w:rFonts w:ascii="Times New Roman" w:hAnsi="Times New Roman" w:cs="Times New Roman"/>
              </w:rPr>
              <w:t xml:space="preserve"> szemináriumi munka értékelése</w:t>
            </w:r>
          </w:p>
          <w:p w:rsidR="00E434AD" w:rsidRPr="004001F3" w:rsidRDefault="00E434AD" w:rsidP="00E8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E434AD" w:rsidRPr="00470E6C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foglalkozásokon </w:t>
            </w:r>
            <w:r w:rsidRPr="00470E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való részvétel követelményei </w:t>
            </w:r>
          </w:p>
        </w:tc>
        <w:tc>
          <w:tcPr>
            <w:tcW w:w="4956" w:type="dxa"/>
          </w:tcPr>
          <w:p w:rsidR="00470E6C" w:rsidRPr="00D43474" w:rsidRDefault="00470E6C" w:rsidP="0047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474">
              <w:rPr>
                <w:rFonts w:ascii="Times New Roman" w:hAnsi="Times New Roman" w:cs="Times New Roman"/>
              </w:rPr>
              <w:lastRenderedPageBreak/>
              <w:t>A hallgatóknak az előadások legalább 75%-án jelen kell lenniük.</w:t>
            </w:r>
          </w:p>
          <w:p w:rsidR="00470E6C" w:rsidRPr="00D43474" w:rsidRDefault="00470E6C" w:rsidP="0047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A</w:t>
            </w:r>
            <w:r w:rsidRPr="00D43474">
              <w:rPr>
                <w:rFonts w:ascii="Times New Roman" w:hAnsi="Times New Roman" w:cs="Times New Roman"/>
              </w:rPr>
              <w:t xml:space="preserve"> hiányzási limitet </w:t>
            </w:r>
            <w:r>
              <w:rPr>
                <w:rFonts w:ascii="Times New Roman" w:hAnsi="Times New Roman" w:cs="Times New Roman"/>
              </w:rPr>
              <w:t>túllépő</w:t>
            </w:r>
            <w:r w:rsidRPr="00D43474">
              <w:rPr>
                <w:rFonts w:ascii="Times New Roman" w:hAnsi="Times New Roman" w:cs="Times New Roman"/>
              </w:rPr>
              <w:t xml:space="preserve"> hallgatóknak számolniuk kell az </w:t>
            </w:r>
            <w:r w:rsidRPr="00D43474">
              <w:rPr>
                <w:rFonts w:ascii="Times New Roman" w:hAnsi="Times New Roman" w:cs="Times New Roman"/>
              </w:rPr>
              <w:lastRenderedPageBreak/>
              <w:t>aláírás megtagadásának lehetőségével.</w:t>
            </w:r>
          </w:p>
          <w:p w:rsidR="00E434AD" w:rsidRPr="009B3828" w:rsidRDefault="00470E6C" w:rsidP="0047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74">
              <w:rPr>
                <w:rFonts w:ascii="Times New Roman" w:hAnsi="Times New Roman" w:cs="Times New Roman"/>
              </w:rPr>
              <w:t xml:space="preserve"> A távolmaradás pótlása, ha az nem lépi túl az 50%-ot – az oktatóval való előzetes egyeztetés alapján – valamelyik témához kapcsolódó házi dolgozat megírásával </w:t>
            </w:r>
            <w:r>
              <w:rPr>
                <w:rFonts w:ascii="Times New Roman" w:hAnsi="Times New Roman" w:cs="Times New Roman"/>
              </w:rPr>
              <w:t>lehetséges</w:t>
            </w:r>
            <w:r w:rsidRPr="00D43474">
              <w:rPr>
                <w:rFonts w:ascii="Times New Roman" w:hAnsi="Times New Roman" w:cs="Times New Roman"/>
              </w:rPr>
              <w:t>. 50%-ot túllépő hiányzás esetén a távolmaradás nem pótolható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félévközi feladatok, az ismeretek ellenőrzésének rendje </w:t>
            </w:r>
          </w:p>
        </w:tc>
        <w:tc>
          <w:tcPr>
            <w:tcW w:w="4956" w:type="dxa"/>
          </w:tcPr>
          <w:p w:rsidR="00470E6C" w:rsidRDefault="00470E6C" w:rsidP="00470E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 az előadásokon leadott anyagot illeti, a hallgatók a szorgalmi időszak utolsó hetében egy tesztjellegű jegymegajánló vizsga keretei között számolhatnak be tudásukról. A megajánlott jegyet nem szerzett hallgatók természetesen mindenfajta negatív következmény nélkül kezdhetik meg a kollokviumot a vizsgaidőszakban.</w:t>
            </w:r>
          </w:p>
          <w:p w:rsidR="00E434AD" w:rsidRPr="009B3828" w:rsidRDefault="00470E6C" w:rsidP="0047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Ami a szemináriumot illeti, a szemináriumvezető a beadandó anyagok (pl. házi dolgozat), és/vagy a szemináriumokon tartott kiselőadások alapján értékeli a szemináriumi munkát).</w:t>
            </w:r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aláírás és a kreditek megszerzésének pontos feltételei </w:t>
            </w:r>
          </w:p>
        </w:tc>
        <w:tc>
          <w:tcPr>
            <w:tcW w:w="4956" w:type="dxa"/>
          </w:tcPr>
          <w:p w:rsidR="00470E6C" w:rsidRPr="00D43474" w:rsidRDefault="00470E6C" w:rsidP="0047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474">
              <w:rPr>
                <w:rFonts w:ascii="Times New Roman" w:hAnsi="Times New Roman" w:cs="Times New Roman"/>
                <w:i/>
                <w:iCs/>
              </w:rPr>
              <w:t>Az aláírás pontos feltétele</w:t>
            </w:r>
            <w:r w:rsidRPr="00D43474">
              <w:rPr>
                <w:rFonts w:ascii="Times New Roman" w:hAnsi="Times New Roman" w:cs="Times New Roman"/>
              </w:rPr>
              <w:t>:</w:t>
            </w:r>
          </w:p>
          <w:p w:rsidR="00470E6C" w:rsidRDefault="00470E6C" w:rsidP="00470E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43474">
              <w:rPr>
                <w:rFonts w:ascii="Times New Roman" w:hAnsi="Times New Roman" w:cs="Times New Roman"/>
              </w:rPr>
              <w:t xml:space="preserve"> az előadások rendszeres (legalább 75%-os) látogatása.</w:t>
            </w:r>
          </w:p>
          <w:p w:rsidR="00470E6C" w:rsidRPr="00D43474" w:rsidRDefault="00470E6C" w:rsidP="00470E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az órák látogatásán felül aktív szemináriumi munka, amelynek jelentését (beadandó feladatok és/vagy órán tartott kiselőadások) a szemináriumvezetők konkretizálják</w:t>
            </w:r>
          </w:p>
          <w:p w:rsidR="00470E6C" w:rsidRPr="00D43474" w:rsidRDefault="00470E6C" w:rsidP="0047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0E6C" w:rsidRPr="00D43474" w:rsidRDefault="00470E6C" w:rsidP="00470E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474">
              <w:rPr>
                <w:rFonts w:ascii="Times New Roman" w:hAnsi="Times New Roman" w:cs="Times New Roman"/>
                <w:i/>
                <w:iCs/>
              </w:rPr>
              <w:t>A kreditek megszerzésének pontos feltétele</w:t>
            </w:r>
            <w:r w:rsidRPr="00D43474">
              <w:rPr>
                <w:rFonts w:ascii="Times New Roman" w:hAnsi="Times New Roman" w:cs="Times New Roman"/>
              </w:rPr>
              <w:t>:</w:t>
            </w:r>
          </w:p>
          <w:p w:rsidR="00470E6C" w:rsidRPr="00D43474" w:rsidRDefault="00470E6C" w:rsidP="00470E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434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jegymegajánló vizsga</w:t>
            </w:r>
            <w:r w:rsidRPr="00D43474">
              <w:rPr>
                <w:rFonts w:ascii="Times New Roman" w:hAnsi="Times New Roman" w:cs="Times New Roman"/>
              </w:rPr>
              <w:t xml:space="preserve"> ere</w:t>
            </w:r>
            <w:r>
              <w:rPr>
                <w:rFonts w:ascii="Times New Roman" w:hAnsi="Times New Roman" w:cs="Times New Roman"/>
              </w:rPr>
              <w:t>dményeképp megajánlott</w:t>
            </w:r>
            <w:r w:rsidRPr="00D43474">
              <w:rPr>
                <w:rFonts w:ascii="Times New Roman" w:hAnsi="Times New Roman" w:cs="Times New Roman"/>
              </w:rPr>
              <w:t xml:space="preserve"> jegy, </w:t>
            </w:r>
            <w:r w:rsidRPr="00D43474">
              <w:rPr>
                <w:rFonts w:ascii="Times New Roman" w:hAnsi="Times New Roman" w:cs="Times New Roman"/>
                <w:u w:val="single"/>
              </w:rPr>
              <w:t>vagy</w:t>
            </w:r>
            <w:r w:rsidRPr="00D43474">
              <w:rPr>
                <w:rFonts w:ascii="Times New Roman" w:hAnsi="Times New Roman" w:cs="Times New Roman"/>
              </w:rPr>
              <w:t xml:space="preserve"> </w:t>
            </w:r>
          </w:p>
          <w:p w:rsidR="00470E6C" w:rsidRDefault="00470E6C" w:rsidP="00470E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474">
              <w:rPr>
                <w:rFonts w:ascii="Times New Roman" w:hAnsi="Times New Roman" w:cs="Times New Roman"/>
              </w:rPr>
              <w:t xml:space="preserve">ötfokozatú írásbeli vizsga </w:t>
            </w:r>
            <w:r>
              <w:rPr>
                <w:rFonts w:ascii="Times New Roman" w:hAnsi="Times New Roman" w:cs="Times New Roman"/>
              </w:rPr>
              <w:t xml:space="preserve">esszé jellegű </w:t>
            </w:r>
            <w:r w:rsidRPr="00D43474">
              <w:rPr>
                <w:rFonts w:ascii="Times New Roman" w:hAnsi="Times New Roman" w:cs="Times New Roman"/>
              </w:rPr>
              <w:t>számonkéréssel</w:t>
            </w:r>
            <w:r>
              <w:rPr>
                <w:rFonts w:ascii="Times New Roman" w:hAnsi="Times New Roman" w:cs="Times New Roman"/>
              </w:rPr>
              <w:t xml:space="preserve"> tételsor alapján</w:t>
            </w:r>
            <w:r w:rsidRPr="00D43474">
              <w:rPr>
                <w:rFonts w:ascii="Times New Roman" w:hAnsi="Times New Roman" w:cs="Times New Roman"/>
              </w:rPr>
              <w:t xml:space="preserve">. </w:t>
            </w:r>
          </w:p>
          <w:p w:rsidR="00470E6C" w:rsidRPr="00D43474" w:rsidRDefault="00470E6C" w:rsidP="00470E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0E6C" w:rsidRPr="00D43474" w:rsidRDefault="00470E6C" w:rsidP="00470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474">
              <w:rPr>
                <w:rFonts w:ascii="Times New Roman" w:hAnsi="Times New Roman"/>
                <w:i/>
                <w:iCs/>
              </w:rPr>
              <w:t>Vizsgakövetelmény</w:t>
            </w:r>
            <w:r w:rsidRPr="00D43474">
              <w:rPr>
                <w:rFonts w:ascii="Times New Roman" w:hAnsi="Times New Roman"/>
              </w:rPr>
              <w:t>:</w:t>
            </w:r>
          </w:p>
          <w:p w:rsidR="00470E6C" w:rsidRPr="00D43474" w:rsidRDefault="00470E6C" w:rsidP="00470E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474">
              <w:rPr>
                <w:rFonts w:ascii="Times New Roman" w:hAnsi="Times New Roman" w:cs="Times New Roman"/>
              </w:rPr>
              <w:t xml:space="preserve">A kötelező irodalom, valamint az előadásokon elhangzottak elsajátítása. </w:t>
            </w:r>
          </w:p>
          <w:p w:rsidR="00470E6C" w:rsidRPr="00D43474" w:rsidRDefault="00470E6C" w:rsidP="0047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0E6C" w:rsidRPr="00D43474" w:rsidRDefault="00470E6C" w:rsidP="00470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3474">
              <w:rPr>
                <w:rFonts w:ascii="Times New Roman" w:hAnsi="Times New Roman"/>
                <w:i/>
                <w:iCs/>
              </w:rPr>
              <w:t xml:space="preserve">Az </w:t>
            </w:r>
            <w:r>
              <w:rPr>
                <w:rFonts w:ascii="Times New Roman" w:hAnsi="Times New Roman"/>
                <w:i/>
                <w:iCs/>
              </w:rPr>
              <w:t xml:space="preserve">írásbeli </w:t>
            </w:r>
            <w:r w:rsidRPr="00D43474">
              <w:rPr>
                <w:rFonts w:ascii="Times New Roman" w:hAnsi="Times New Roman"/>
                <w:i/>
                <w:iCs/>
              </w:rPr>
              <w:t>ellenőrzés eredményének kialakítási módja (elérendő teljesítmény százalék)</w:t>
            </w:r>
            <w:r w:rsidRPr="00D43474">
              <w:rPr>
                <w:rFonts w:ascii="Times New Roman" w:hAnsi="Times New Roman"/>
              </w:rPr>
              <w:t>: 50%-tól elégséges, 60%-tól közepes, 70%-tól jó, 80%-tól jeles.</w:t>
            </w:r>
          </w:p>
          <w:p w:rsidR="00E434AD" w:rsidRPr="009B3828" w:rsidRDefault="00E434AD" w:rsidP="001D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4">
              <w:rPr>
                <w:rFonts w:ascii="Times New Roman" w:hAnsi="Times New Roman" w:cs="Times New Roman"/>
                <w:b/>
                <w:sz w:val="24"/>
                <w:szCs w:val="24"/>
              </w:rPr>
              <w:t>A kötelező és ajánlott irodalom jegyzéke (magyar nyelven)</w:t>
            </w:r>
          </w:p>
        </w:tc>
        <w:tc>
          <w:tcPr>
            <w:tcW w:w="4956" w:type="dxa"/>
          </w:tcPr>
          <w:p w:rsidR="00E434AD" w:rsidRPr="00E72610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Kötelező irodalom:</w:t>
            </w:r>
          </w:p>
          <w:p w:rsidR="00E434AD" w:rsidRPr="00E72610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 xml:space="preserve">1. Tózsa I. Településtan, Közig. </w:t>
            </w:r>
            <w:proofErr w:type="spellStart"/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Urb</w:t>
            </w:r>
            <w:proofErr w:type="spellEnd"/>
            <w:r w:rsidRPr="00E72610">
              <w:rPr>
                <w:rFonts w:ascii="Times New Roman" w:hAnsi="Times New Roman" w:cs="Times New Roman"/>
                <w:sz w:val="24"/>
                <w:szCs w:val="24"/>
              </w:rPr>
              <w:t xml:space="preserve">. I. – BCE. Budapest, 2011. ISBN 978-963-9698-95-6 </w:t>
            </w:r>
          </w:p>
          <w:p w:rsidR="00470E6C" w:rsidRPr="00E72610" w:rsidRDefault="00E434AD" w:rsidP="0047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0E6C" w:rsidRPr="00E72610">
              <w:rPr>
                <w:rFonts w:ascii="Times New Roman" w:hAnsi="Times New Roman" w:cs="Times New Roman"/>
                <w:sz w:val="24"/>
                <w:szCs w:val="24"/>
              </w:rPr>
              <w:t xml:space="preserve">Buskó T. L. – </w:t>
            </w:r>
            <w:proofErr w:type="spellStart"/>
            <w:r w:rsidR="00470E6C" w:rsidRPr="00E72610">
              <w:rPr>
                <w:rFonts w:ascii="Times New Roman" w:hAnsi="Times New Roman" w:cs="Times New Roman"/>
                <w:sz w:val="24"/>
                <w:szCs w:val="24"/>
              </w:rPr>
              <w:t>Jószai</w:t>
            </w:r>
            <w:proofErr w:type="spellEnd"/>
            <w:r w:rsidR="00470E6C" w:rsidRPr="00E72610">
              <w:rPr>
                <w:rFonts w:ascii="Times New Roman" w:hAnsi="Times New Roman" w:cs="Times New Roman"/>
                <w:sz w:val="24"/>
                <w:szCs w:val="24"/>
              </w:rPr>
              <w:t xml:space="preserve"> A.: Közigazgatási urbanisztika. Dialóg Campus Kiadó, Budapest 2018 pp. 75-166. ISBN 978-615-5889-49-3 </w:t>
            </w:r>
          </w:p>
          <w:p w:rsidR="00470E6C" w:rsidRPr="00E72610" w:rsidRDefault="00470E6C" w:rsidP="0047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2944" w:rsidRPr="00E72610" w:rsidRDefault="00470E6C" w:rsidP="00E12944">
            <w:pPr>
              <w:pStyle w:val="Lbjegyzetszveg"/>
              <w:rPr>
                <w:sz w:val="24"/>
                <w:szCs w:val="24"/>
              </w:rPr>
            </w:pPr>
            <w:r w:rsidRPr="00E72610">
              <w:t xml:space="preserve">3. </w:t>
            </w:r>
            <w:r w:rsidR="00E12944" w:rsidRPr="00E72610">
              <w:rPr>
                <w:sz w:val="24"/>
                <w:szCs w:val="24"/>
              </w:rPr>
              <w:t xml:space="preserve">Ildefonso Cerdá (Fordította: Bajnai László, </w:t>
            </w:r>
            <w:r w:rsidR="00E72610" w:rsidRPr="00E72610">
              <w:rPr>
                <w:sz w:val="24"/>
                <w:szCs w:val="24"/>
              </w:rPr>
              <w:t>Ernhöffer Mónika,</w:t>
            </w:r>
            <w:r w:rsidR="00E72610" w:rsidRPr="00E72610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lang w:eastAsia="en-US"/>
              </w:rPr>
              <w:t xml:space="preserve"> </w:t>
            </w:r>
            <w:r w:rsidR="00E72610" w:rsidRPr="00E72610">
              <w:rPr>
                <w:sz w:val="24"/>
                <w:szCs w:val="24"/>
              </w:rPr>
              <w:t>Farkas, Ildikó):</w:t>
            </w:r>
            <w:r w:rsidR="00E12944" w:rsidRPr="00E72610">
              <w:rPr>
                <w:sz w:val="24"/>
                <w:szCs w:val="24"/>
              </w:rPr>
              <w:t xml:space="preserve"> </w:t>
            </w:r>
            <w:r w:rsidR="00E12944" w:rsidRPr="00E72610">
              <w:rPr>
                <w:i/>
                <w:sz w:val="24"/>
                <w:szCs w:val="24"/>
              </w:rPr>
              <w:t>Az urbanizáció általános elmélete</w:t>
            </w:r>
            <w:r w:rsidR="00E12944" w:rsidRPr="00E72610">
              <w:rPr>
                <w:sz w:val="24"/>
                <w:szCs w:val="24"/>
              </w:rPr>
              <w:t>, Budapest, 2013. 238 p. Scolar Kiadó. ISBN: 9789632444963</w:t>
            </w:r>
          </w:p>
          <w:p w:rsidR="00E12944" w:rsidRPr="00E72610" w:rsidRDefault="00E12944" w:rsidP="00E12944">
            <w:pPr>
              <w:pStyle w:val="Lbjegyzetszveg"/>
              <w:rPr>
                <w:sz w:val="24"/>
                <w:szCs w:val="24"/>
              </w:rPr>
            </w:pPr>
          </w:p>
          <w:p w:rsidR="00E434AD" w:rsidRPr="00E72610" w:rsidRDefault="00E434AD" w:rsidP="00EE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Ajánlott irodalom:</w:t>
            </w:r>
          </w:p>
          <w:p w:rsidR="00E434AD" w:rsidRPr="00E72610" w:rsidRDefault="00470E6C" w:rsidP="0047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34AD" w:rsidRPr="00E72610">
              <w:rPr>
                <w:rFonts w:ascii="Times New Roman" w:hAnsi="Times New Roman" w:cs="Times New Roman"/>
                <w:sz w:val="24"/>
                <w:szCs w:val="24"/>
              </w:rPr>
              <w:t>Tózsa</w:t>
            </w:r>
            <w:r w:rsidR="00903D9D" w:rsidRPr="00E72610">
              <w:rPr>
                <w:rFonts w:ascii="Times New Roman" w:hAnsi="Times New Roman" w:cs="Times New Roman"/>
                <w:sz w:val="24"/>
                <w:szCs w:val="24"/>
              </w:rPr>
              <w:t xml:space="preserve"> I. Vizuális közszolgáltatás – </w:t>
            </w:r>
            <w:r w:rsidR="00E434AD" w:rsidRPr="00E72610">
              <w:rPr>
                <w:rFonts w:ascii="Times New Roman" w:hAnsi="Times New Roman" w:cs="Times New Roman"/>
                <w:sz w:val="24"/>
                <w:szCs w:val="24"/>
              </w:rPr>
              <w:t xml:space="preserve">térinformatika és </w:t>
            </w:r>
            <w:proofErr w:type="spellStart"/>
            <w:r w:rsidR="00E434AD" w:rsidRPr="00E7261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E434AD" w:rsidRPr="00E72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government</w:t>
            </w:r>
            <w:proofErr w:type="spellEnd"/>
            <w:r w:rsidR="00E434AD" w:rsidRPr="00E72610">
              <w:rPr>
                <w:rFonts w:ascii="Times New Roman" w:hAnsi="Times New Roman" w:cs="Times New Roman"/>
                <w:sz w:val="24"/>
                <w:szCs w:val="24"/>
              </w:rPr>
              <w:t xml:space="preserve"> E.G.T.-HVG, Bp. 2008. ISBN 978-963- 9753-05-1</w:t>
            </w:r>
          </w:p>
          <w:p w:rsidR="00903D9D" w:rsidRPr="00E72610" w:rsidRDefault="00470E6C" w:rsidP="00903D9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2610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spellStart"/>
            <w:r w:rsidRPr="00E72610">
              <w:rPr>
                <w:rFonts w:asciiTheme="majorBidi" w:hAnsiTheme="majorBidi" w:cstheme="majorBidi"/>
                <w:sz w:val="24"/>
                <w:szCs w:val="24"/>
              </w:rPr>
              <w:t>Kőszegfalvi</w:t>
            </w:r>
            <w:proofErr w:type="spellEnd"/>
            <w:r w:rsidRPr="00E72610">
              <w:rPr>
                <w:rFonts w:asciiTheme="majorBidi" w:hAnsiTheme="majorBidi" w:cstheme="majorBidi"/>
                <w:sz w:val="24"/>
                <w:szCs w:val="24"/>
              </w:rPr>
              <w:t xml:space="preserve"> György: Települési infrastruktúra.</w:t>
            </w:r>
            <w:r w:rsidR="00903D9D" w:rsidRPr="00E72610">
              <w:rPr>
                <w:rFonts w:asciiTheme="majorBidi" w:hAnsiTheme="majorBidi" w:cstheme="majorBidi"/>
                <w:sz w:val="24"/>
                <w:szCs w:val="24"/>
              </w:rPr>
              <w:t xml:space="preserve"> Akadémiai Kiadó, Budapest, 1991.</w:t>
            </w:r>
          </w:p>
          <w:p w:rsidR="00E72610" w:rsidRPr="00E72610" w:rsidRDefault="00903D9D" w:rsidP="00E726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2610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="00E72610" w:rsidRPr="00E72610">
              <w:rPr>
                <w:rFonts w:asciiTheme="majorBidi" w:hAnsiTheme="majorBidi" w:cstheme="majorBidi"/>
                <w:sz w:val="24"/>
                <w:szCs w:val="24"/>
              </w:rPr>
              <w:t xml:space="preserve">Bajnai László: Bevezetés az urbanisztikába: A fenntartható urbanizáció tervezése és megvalósítása. Scolar Kiadó, Budapest. 2016. 116 p. ISBN: </w:t>
            </w:r>
            <w:hyperlink r:id="rId5" w:tgtFrame="_blank" w:history="1">
              <w:r w:rsidR="00E72610" w:rsidRPr="00E72610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978-963-244-640-0</w:t>
              </w:r>
            </w:hyperlink>
            <w:r w:rsidR="00E72610" w:rsidRPr="00E726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70E6C" w:rsidRPr="00E72610" w:rsidRDefault="00470E6C" w:rsidP="00903D9D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34AD" w:rsidRPr="009B3828" w:rsidTr="00EE28F0">
        <w:tc>
          <w:tcPr>
            <w:tcW w:w="851" w:type="dxa"/>
          </w:tcPr>
          <w:p w:rsidR="00E434AD" w:rsidRPr="001832FA" w:rsidRDefault="001832FA" w:rsidP="001832F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2" w:type="dxa"/>
          </w:tcPr>
          <w:p w:rsidR="00E434AD" w:rsidRPr="00134514" w:rsidRDefault="00E434AD" w:rsidP="00EE28F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0E6C">
              <w:rPr>
                <w:rFonts w:ascii="Times New Roman" w:hAnsi="Times New Roman" w:cs="Times New Roman"/>
                <w:b/>
                <w:sz w:val="24"/>
                <w:szCs w:val="24"/>
              </w:rPr>
              <w:t>A kötelező és ajánlott irodalom jegyzéke (angol nyelven)</w:t>
            </w:r>
          </w:p>
        </w:tc>
        <w:tc>
          <w:tcPr>
            <w:tcW w:w="4956" w:type="dxa"/>
          </w:tcPr>
          <w:p w:rsidR="003032E7" w:rsidRDefault="003032E7" w:rsidP="003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Urban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Settlement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726FD">
              <w:rPr>
                <w:rFonts w:ascii="Times New Roman" w:hAnsi="Times New Roman" w:cs="Times New Roman"/>
                <w:sz w:val="24"/>
                <w:szCs w:val="24"/>
              </w:rPr>
              <w:t>Golearngeography</w:t>
            </w:r>
            <w:proofErr w:type="spellEnd"/>
            <w:r w:rsidR="002726FD">
              <w:rPr>
                <w:rFonts w:ascii="Times New Roman" w:hAnsi="Times New Roman" w:cs="Times New Roman"/>
                <w:sz w:val="24"/>
                <w:szCs w:val="24"/>
              </w:rPr>
              <w:t xml:space="preserve"> Program.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32E7" w:rsidRDefault="0097782F" w:rsidP="003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32E7" w:rsidRPr="00204BD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https://golearngeo.wordpress.com/2013/10/16/urban-rural-settlement-geography/</w:t>
              </w:r>
            </w:hyperlink>
          </w:p>
          <w:p w:rsidR="003032E7" w:rsidRDefault="003032E7" w:rsidP="0030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FD" w:rsidRDefault="002726FD" w:rsidP="002726F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726FD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Papayanis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, N. –</w:t>
            </w:r>
            <w:r w:rsidRPr="002726FD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6FD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Wakeman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, R. 2001. The Urban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Infrastructure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. Encyclopedia.com.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Download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hyperlink r:id="rId7" w:history="1">
              <w:r w:rsidRPr="00204BD1">
                <w:rPr>
                  <w:rStyle w:val="Hiperhivatkozs"/>
                  <w:rFonts w:ascii="Times New Roman" w:hAnsi="Times New Roman" w:cs="Times New Roman"/>
                  <w:bCs/>
                  <w:iCs/>
                  <w:sz w:val="24"/>
                  <w:szCs w:val="24"/>
                  <w:shd w:val="clear" w:color="auto" w:fill="FFFFFF"/>
                </w:rPr>
                <w:t>https://www.encyclopedia.com/international/encyclopedias-almanacs-transcripts-and-maps/urban-infrastructure</w:t>
              </w:r>
            </w:hyperlink>
          </w:p>
          <w:p w:rsidR="003032E7" w:rsidRPr="009B3828" w:rsidRDefault="002726FD" w:rsidP="0027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ED3DD5" w:rsidRDefault="00ED3DD5"/>
    <w:sectPr w:rsidR="00ED3DD5" w:rsidSect="00F1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0D55"/>
    <w:multiLevelType w:val="hybridMultilevel"/>
    <w:tmpl w:val="D632ECC8"/>
    <w:lvl w:ilvl="0" w:tplc="33607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00D5"/>
    <w:multiLevelType w:val="hybridMultilevel"/>
    <w:tmpl w:val="99168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4AD"/>
    <w:rsid w:val="00086C07"/>
    <w:rsid w:val="00125D58"/>
    <w:rsid w:val="00171184"/>
    <w:rsid w:val="001832FA"/>
    <w:rsid w:val="001D0D8F"/>
    <w:rsid w:val="00253DAD"/>
    <w:rsid w:val="002726FD"/>
    <w:rsid w:val="002750EB"/>
    <w:rsid w:val="003032E7"/>
    <w:rsid w:val="003201C5"/>
    <w:rsid w:val="004001F3"/>
    <w:rsid w:val="004444F6"/>
    <w:rsid w:val="00470E6C"/>
    <w:rsid w:val="00490152"/>
    <w:rsid w:val="005317A3"/>
    <w:rsid w:val="00571C84"/>
    <w:rsid w:val="005E76C7"/>
    <w:rsid w:val="006509E9"/>
    <w:rsid w:val="006C2674"/>
    <w:rsid w:val="00710F1E"/>
    <w:rsid w:val="007F7E2E"/>
    <w:rsid w:val="00903D9D"/>
    <w:rsid w:val="009327A7"/>
    <w:rsid w:val="0097782F"/>
    <w:rsid w:val="00BC19B9"/>
    <w:rsid w:val="00C036BD"/>
    <w:rsid w:val="00C66F8C"/>
    <w:rsid w:val="00CF20DF"/>
    <w:rsid w:val="00E12944"/>
    <w:rsid w:val="00E434AD"/>
    <w:rsid w:val="00E72610"/>
    <w:rsid w:val="00E83CFE"/>
    <w:rsid w:val="00ED3DD5"/>
    <w:rsid w:val="00F13BD9"/>
    <w:rsid w:val="00FB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4A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ÁKK Listaszerű bekezdés"/>
    <w:basedOn w:val="Norml"/>
    <w:link w:val="ListaszerbekezdsChar"/>
    <w:uiPriority w:val="34"/>
    <w:qFormat/>
    <w:rsid w:val="00E434AD"/>
    <w:pPr>
      <w:ind w:left="720"/>
      <w:contextualSpacing/>
    </w:pPr>
  </w:style>
  <w:style w:type="character" w:customStyle="1" w:styleId="ListaszerbekezdsChar">
    <w:name w:val="Listaszerű bekezdés Char"/>
    <w:aliases w:val="ÁKK Listaszerű bekezdés Char"/>
    <w:basedOn w:val="Bekezdsalapbettpusa"/>
    <w:link w:val="Listaszerbekezds"/>
    <w:uiPriority w:val="34"/>
    <w:rsid w:val="00E434AD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D0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D0D8F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032E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944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294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2944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726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cyclopedia.com/international/encyclopedias-almanacs-transcripts-and-maps/urban-infrastruc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learngeo.wordpress.com/2013/10/16/urban-rural-settlement-geography/" TargetMode="External"/><Relationship Id="rId5" Type="http://schemas.openxmlformats.org/officeDocument/2006/relationships/hyperlink" Target="http://www.isbnsearch.org/isbn/97896324464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1167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Dobronyi Mónika</dc:creator>
  <cp:lastModifiedBy>Felhasználó</cp:lastModifiedBy>
  <cp:revision>4</cp:revision>
  <dcterms:created xsi:type="dcterms:W3CDTF">2020-01-28T12:26:00Z</dcterms:created>
  <dcterms:modified xsi:type="dcterms:W3CDTF">2020-01-28T13:50:00Z</dcterms:modified>
</cp:coreProperties>
</file>